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11E5F" w14:textId="77777777" w:rsidR="00405850" w:rsidRPr="0067714A" w:rsidRDefault="00405850" w:rsidP="00405850">
      <w:r w:rsidRPr="0067714A">
        <w:t>Dear [Name]</w:t>
      </w:r>
    </w:p>
    <w:p w14:paraId="2C96FE73" w14:textId="77777777" w:rsidR="00405850" w:rsidRPr="0067714A" w:rsidRDefault="00405850" w:rsidP="00405850"/>
    <w:p w14:paraId="144B9D13" w14:textId="21941FEC" w:rsidR="00A66A0C" w:rsidRDefault="00885C9C" w:rsidP="00A66A0C">
      <w:r w:rsidRPr="0067714A">
        <w:t>You are</w:t>
      </w:r>
      <w:r w:rsidR="00405850" w:rsidRPr="0067714A">
        <w:t xml:space="preserve"> invite</w:t>
      </w:r>
      <w:r w:rsidRPr="0067714A">
        <w:t>d</w:t>
      </w:r>
      <w:r w:rsidR="00405850" w:rsidRPr="0067714A">
        <w:t xml:space="preserve"> </w:t>
      </w:r>
      <w:r w:rsidRPr="0067714A">
        <w:t>t</w:t>
      </w:r>
      <w:r w:rsidR="00405850" w:rsidRPr="0067714A">
        <w:t xml:space="preserve">o submit </w:t>
      </w:r>
      <w:r w:rsidR="00564D86">
        <w:t>a paper</w:t>
      </w:r>
      <w:r w:rsidR="00405850" w:rsidRPr="0067714A">
        <w:t xml:space="preserve"> for </w:t>
      </w:r>
      <w:r w:rsidR="00564D86">
        <w:t>the</w:t>
      </w:r>
      <w:r w:rsidR="00405850" w:rsidRPr="0067714A">
        <w:t xml:space="preserve"> </w:t>
      </w:r>
      <w:proofErr w:type="gramStart"/>
      <w:r w:rsidRPr="0067714A">
        <w:t>TEN-STARS</w:t>
      </w:r>
      <w:proofErr w:type="gramEnd"/>
      <w:r w:rsidRPr="0067714A">
        <w:t xml:space="preserve"> </w:t>
      </w:r>
      <w:r w:rsidR="00405850" w:rsidRPr="0067714A">
        <w:t xml:space="preserve">special issue </w:t>
      </w:r>
      <w:r w:rsidR="00564D86">
        <w:t xml:space="preserve">of </w:t>
      </w:r>
      <w:r w:rsidR="00405850" w:rsidRPr="0067714A">
        <w:t>the Journal of Teaching and Lear</w:t>
      </w:r>
      <w:r w:rsidR="004267C7">
        <w:t>ning in Graduate Employability,</w:t>
      </w:r>
      <w:r w:rsidR="00A66A0C">
        <w:t xml:space="preserve"> edited by </w:t>
      </w:r>
      <w:r w:rsidR="00A66A0C" w:rsidRPr="0067714A">
        <w:t>Professor Shelley Kinash and myself</w:t>
      </w:r>
      <w:r w:rsidR="00A66A0C">
        <w:t>.</w:t>
      </w:r>
    </w:p>
    <w:p w14:paraId="05554B82" w14:textId="343E7E0A" w:rsidR="00A66A0C" w:rsidRDefault="00A66A0C" w:rsidP="00A66A0C"/>
    <w:p w14:paraId="5C7607DE" w14:textId="743EA105" w:rsidR="00A66A0C" w:rsidRDefault="00A66A0C" w:rsidP="00A66A0C">
      <w:r>
        <w:t>We are looking for empirical articles (maximum 8000 words) that examine pra</w:t>
      </w:r>
      <w:r w:rsidR="004267C7">
        <w:t>ctical solutions, approaches or</w:t>
      </w:r>
      <w:r>
        <w:t xml:space="preserve"> initiatives that advance the employability, career and </w:t>
      </w:r>
      <w:r w:rsidR="004267C7">
        <w:t xml:space="preserve">success of university graduates. For example, </w:t>
      </w:r>
      <w:r>
        <w:t>by improving student transitions, assessment and student learning experiences, or by connecting with employers and industry.</w:t>
      </w:r>
    </w:p>
    <w:p w14:paraId="067D78F5" w14:textId="1695F78B" w:rsidR="00210B29" w:rsidRDefault="00210B29" w:rsidP="00A66A0C"/>
    <w:p w14:paraId="12464D3D" w14:textId="409298B7" w:rsidR="00210B29" w:rsidRPr="00A31C60" w:rsidRDefault="00210B29" w:rsidP="00A66A0C">
      <w:pPr>
        <w:rPr>
          <w:rFonts w:eastAsia="Times New Roman" w:cs="Times New Roman"/>
          <w:color w:val="212121"/>
          <w:shd w:val="clear" w:color="auto" w:fill="FFFFFF"/>
        </w:rPr>
      </w:pPr>
      <w:r>
        <w:t xml:space="preserve">We strongly encourage papers which are partnerships between stakeholders (industry, graduates, students and academics). </w:t>
      </w:r>
    </w:p>
    <w:p w14:paraId="50D0FDB4" w14:textId="3BD27197" w:rsidR="00405850" w:rsidRDefault="00405850" w:rsidP="00405850">
      <w:pPr>
        <w:rPr>
          <w:color w:val="1F497D"/>
        </w:rPr>
      </w:pPr>
    </w:p>
    <w:p w14:paraId="7CA1D15B" w14:textId="77777777" w:rsidR="00405850" w:rsidRPr="00405850" w:rsidRDefault="00405850" w:rsidP="00405850">
      <w:pPr>
        <w:rPr>
          <w:b/>
          <w:color w:val="1F497D"/>
        </w:rPr>
      </w:pPr>
      <w:r w:rsidRPr="00405850">
        <w:rPr>
          <w:b/>
          <w:color w:val="1F497D"/>
        </w:rPr>
        <w:t>What is TEN-STARS?</w:t>
      </w:r>
    </w:p>
    <w:p w14:paraId="66E990A2" w14:textId="77777777" w:rsidR="00405850" w:rsidRDefault="00405850" w:rsidP="00405850">
      <w:pPr>
        <w:rPr>
          <w:color w:val="1F497D"/>
        </w:rPr>
      </w:pPr>
    </w:p>
    <w:p w14:paraId="31123F3E" w14:textId="2DD69026" w:rsidR="00405850" w:rsidRDefault="00A66A0C" w:rsidP="00405850">
      <w:r>
        <w:t>TEN-STARS (</w:t>
      </w:r>
      <w:r w:rsidRPr="00885C9C">
        <w:rPr>
          <w:b/>
        </w:rPr>
        <w:t>T</w:t>
      </w:r>
      <w:r w:rsidRPr="00885C9C">
        <w:t>he</w:t>
      </w:r>
      <w:r w:rsidRPr="00885C9C">
        <w:rPr>
          <w:b/>
        </w:rPr>
        <w:t xml:space="preserve"> </w:t>
      </w:r>
      <w:r>
        <w:rPr>
          <w:b/>
        </w:rPr>
        <w:t xml:space="preserve"> </w:t>
      </w:r>
      <w:r w:rsidRPr="00885C9C">
        <w:rPr>
          <w:b/>
        </w:rPr>
        <w:t>E</w:t>
      </w:r>
      <w:r w:rsidRPr="00885C9C">
        <w:t xml:space="preserve">mployability </w:t>
      </w:r>
      <w:r w:rsidRPr="00885C9C">
        <w:rPr>
          <w:b/>
        </w:rPr>
        <w:t>N</w:t>
      </w:r>
      <w:r w:rsidRPr="00885C9C">
        <w:t xml:space="preserve">etwork – </w:t>
      </w:r>
      <w:r w:rsidRPr="00885C9C">
        <w:rPr>
          <w:b/>
        </w:rPr>
        <w:t>S</w:t>
      </w:r>
      <w:r w:rsidRPr="00885C9C">
        <w:t xml:space="preserve">tudents, </w:t>
      </w:r>
      <w:r w:rsidRPr="00885C9C">
        <w:rPr>
          <w:b/>
        </w:rPr>
        <w:t>T</w:t>
      </w:r>
      <w:r w:rsidRPr="00885C9C">
        <w:t xml:space="preserve">ransitions, </w:t>
      </w:r>
      <w:r w:rsidRPr="00885C9C">
        <w:rPr>
          <w:b/>
        </w:rPr>
        <w:t>A</w:t>
      </w:r>
      <w:r w:rsidRPr="00885C9C">
        <w:t xml:space="preserve">chievement </w:t>
      </w:r>
      <w:r w:rsidRPr="00885C9C">
        <w:rPr>
          <w:b/>
        </w:rPr>
        <w:t>R</w:t>
      </w:r>
      <w:r w:rsidRPr="00885C9C">
        <w:t xml:space="preserve">etention &amp; </w:t>
      </w:r>
      <w:r w:rsidRPr="00885C9C">
        <w:rPr>
          <w:b/>
        </w:rPr>
        <w:t>S</w:t>
      </w:r>
      <w:r w:rsidRPr="00885C9C">
        <w:t>uccess</w:t>
      </w:r>
      <w:r>
        <w:t>) is an international network of colleagues who are dedicated to advancing the employability, career and overall contributions and successes of university graduates.</w:t>
      </w:r>
      <w:r w:rsidRPr="00A66A0C">
        <w:t xml:space="preserve"> The network</w:t>
      </w:r>
      <w:r w:rsidR="00885C9C" w:rsidRPr="00885C9C">
        <w:t xml:space="preserve"> was convened by Professor Shelley Kinash at the 2018 STARS conference in Auckland. </w:t>
      </w:r>
      <w:r>
        <w:t>Amongst other</w:t>
      </w:r>
      <w:r w:rsidR="00885C9C">
        <w:t xml:space="preserve"> goals and objectives the network seeks to share good practice and collaborate on employability research. As such, the </w:t>
      </w:r>
      <w:r w:rsidR="0067714A">
        <w:t xml:space="preserve">publication of this special issue was identified as the first of many collaborative outputs of the group. </w:t>
      </w:r>
    </w:p>
    <w:p w14:paraId="1B64C05F" w14:textId="0334C9B1" w:rsidR="00210B29" w:rsidRDefault="00210B29" w:rsidP="00405850"/>
    <w:p w14:paraId="1B2A423A" w14:textId="0C39CF1D" w:rsidR="00210B29" w:rsidRPr="00A66A0C" w:rsidRDefault="00210B29" w:rsidP="00405850">
      <w:r w:rsidRPr="0067714A">
        <w:t>If you have not already, make sure that you sign up to the TEN-STAR network here: https://tenstars.graduateemployability.com/</w:t>
      </w:r>
    </w:p>
    <w:p w14:paraId="70AE8209" w14:textId="77777777" w:rsidR="00564D86" w:rsidRDefault="00564D86" w:rsidP="00405850">
      <w:pPr>
        <w:rPr>
          <w:b/>
          <w:color w:val="1F497D"/>
        </w:rPr>
      </w:pPr>
    </w:p>
    <w:p w14:paraId="24110591" w14:textId="1CA35F41" w:rsidR="00405850" w:rsidRPr="00405850" w:rsidRDefault="00405850" w:rsidP="00405850">
      <w:pPr>
        <w:rPr>
          <w:b/>
          <w:color w:val="1F497D"/>
        </w:rPr>
      </w:pPr>
      <w:r w:rsidRPr="00405850">
        <w:rPr>
          <w:b/>
          <w:color w:val="1F497D"/>
        </w:rPr>
        <w:t>Why the Jou</w:t>
      </w:r>
      <w:r w:rsidR="00A66A0C">
        <w:rPr>
          <w:b/>
          <w:color w:val="1F497D"/>
        </w:rPr>
        <w:t>rnal of Teaching and Learning for</w:t>
      </w:r>
      <w:r w:rsidRPr="00405850">
        <w:rPr>
          <w:b/>
          <w:color w:val="1F497D"/>
        </w:rPr>
        <w:t xml:space="preserve"> Graduate Employability?</w:t>
      </w:r>
    </w:p>
    <w:p w14:paraId="3C0F4F90" w14:textId="77777777" w:rsidR="00405850" w:rsidRDefault="00405850" w:rsidP="00405850">
      <w:pPr>
        <w:rPr>
          <w:color w:val="1F497D"/>
        </w:rPr>
      </w:pPr>
    </w:p>
    <w:p w14:paraId="76C2838C" w14:textId="73956B29" w:rsidR="00405850" w:rsidRDefault="00A66A0C" w:rsidP="00405850">
      <w:pPr>
        <w:rPr>
          <w:b/>
          <w:color w:val="1F497D"/>
        </w:rPr>
      </w:pPr>
      <w:r>
        <w:rPr>
          <w:bCs/>
        </w:rPr>
        <w:t>The Journal of Teaching and Learning for Graduate Employability (</w:t>
      </w:r>
      <w:hyperlink r:id="rId5" w:history="1">
        <w:r w:rsidRPr="00A66A0C">
          <w:t>https://ojs.deakin.edu.au/index.php/jtlge/</w:t>
        </w:r>
      </w:hyperlink>
      <w:r w:rsidRPr="00A66A0C">
        <w:rPr>
          <w:bCs/>
        </w:rPr>
        <w:t xml:space="preserve">) </w:t>
      </w:r>
      <w:r>
        <w:rPr>
          <w:bCs/>
        </w:rPr>
        <w:t>is a peer-reviewed open access publication specifically focussed on the dis</w:t>
      </w:r>
      <w:r w:rsidRPr="00A66A0C">
        <w:rPr>
          <w:bCs/>
        </w:rPr>
        <w:t>semination of research and evidence-based practice in teaching and learning for graduate employability</w:t>
      </w:r>
      <w:r>
        <w:rPr>
          <w:bCs/>
        </w:rPr>
        <w:t xml:space="preserve">. It also has a prompt and efficient review process. </w:t>
      </w:r>
      <w:r w:rsidR="00564D86" w:rsidRPr="00A66A0C">
        <w:rPr>
          <w:bCs/>
        </w:rPr>
        <w:br/>
      </w:r>
    </w:p>
    <w:p w14:paraId="1F3D8BC5" w14:textId="77777777" w:rsidR="00405850" w:rsidRPr="00405850" w:rsidRDefault="00405850" w:rsidP="00405850">
      <w:pPr>
        <w:rPr>
          <w:b/>
          <w:color w:val="1F497D"/>
        </w:rPr>
      </w:pPr>
      <w:r w:rsidRPr="00405850">
        <w:rPr>
          <w:b/>
          <w:color w:val="1F497D"/>
        </w:rPr>
        <w:t>When are the papers due?</w:t>
      </w:r>
    </w:p>
    <w:p w14:paraId="1727CC6D" w14:textId="77777777" w:rsidR="00405850" w:rsidRDefault="00405850" w:rsidP="00405850">
      <w:pPr>
        <w:rPr>
          <w:color w:val="1F497D"/>
        </w:rPr>
      </w:pPr>
    </w:p>
    <w:p w14:paraId="6CDA2C7D" w14:textId="52355FBE" w:rsidR="00612388" w:rsidRPr="00612388" w:rsidRDefault="0067714A" w:rsidP="00210B29">
      <w:pPr>
        <w:pStyle w:val="ListParagraph"/>
        <w:numPr>
          <w:ilvl w:val="0"/>
          <w:numId w:val="1"/>
        </w:numPr>
      </w:pPr>
      <w:r w:rsidRPr="00612388">
        <w:t>Deadline for full papers</w:t>
      </w:r>
      <w:r w:rsidR="00612388" w:rsidRPr="00612388">
        <w:t>:</w:t>
      </w:r>
      <w:r w:rsidRPr="00612388">
        <w:t xml:space="preserve"> </w:t>
      </w:r>
      <w:r w:rsidR="004267C7">
        <w:t>Friday</w:t>
      </w:r>
      <w:r w:rsidRPr="00612388">
        <w:t xml:space="preserve"> 12th October</w:t>
      </w:r>
      <w:r w:rsidR="00612388" w:rsidRPr="00612388">
        <w:t xml:space="preserve"> 2018. </w:t>
      </w:r>
    </w:p>
    <w:p w14:paraId="4A625288" w14:textId="09B0EE01" w:rsidR="00210B29" w:rsidRPr="00612388" w:rsidRDefault="00210B29" w:rsidP="00210B29">
      <w:pPr>
        <w:pStyle w:val="ListParagraph"/>
        <w:numPr>
          <w:ilvl w:val="0"/>
          <w:numId w:val="1"/>
        </w:numPr>
      </w:pPr>
      <w:r w:rsidRPr="00612388">
        <w:t xml:space="preserve">Papers will be sent for review by </w:t>
      </w:r>
      <w:r w:rsidR="004267C7">
        <w:t xml:space="preserve">Monday </w:t>
      </w:r>
      <w:r w:rsidRPr="00612388">
        <w:t xml:space="preserve">15th October </w:t>
      </w:r>
      <w:r w:rsidR="004267C7">
        <w:t xml:space="preserve">and will be returned by Thursday </w:t>
      </w:r>
      <w:r w:rsidRPr="00612388">
        <w:t>15th November</w:t>
      </w:r>
      <w:r>
        <w:t xml:space="preserve"> (authors are encouraged to review other papers)</w:t>
      </w:r>
    </w:p>
    <w:p w14:paraId="08E9AEC6" w14:textId="3E70A87F" w:rsidR="00612388" w:rsidRPr="00612388" w:rsidRDefault="00612388" w:rsidP="00210B29">
      <w:pPr>
        <w:pStyle w:val="ListParagraph"/>
        <w:numPr>
          <w:ilvl w:val="0"/>
          <w:numId w:val="1"/>
        </w:numPr>
      </w:pPr>
      <w:r w:rsidRPr="00612388">
        <w:t>Reviews wi</w:t>
      </w:r>
      <w:r w:rsidR="004267C7">
        <w:t>ll be returned to authors by Monday</w:t>
      </w:r>
      <w:r w:rsidRPr="00612388">
        <w:t xml:space="preserve"> 19th November.</w:t>
      </w:r>
    </w:p>
    <w:p w14:paraId="0E1723ED" w14:textId="77777777" w:rsidR="004267C7" w:rsidRDefault="00612388" w:rsidP="00210B29">
      <w:pPr>
        <w:pStyle w:val="ListParagraph"/>
        <w:numPr>
          <w:ilvl w:val="0"/>
          <w:numId w:val="1"/>
        </w:numPr>
      </w:pPr>
      <w:r w:rsidRPr="00612388">
        <w:t xml:space="preserve">Amended papers are due </w:t>
      </w:r>
      <w:r w:rsidR="004267C7">
        <w:t>Monday 17th December</w:t>
      </w:r>
    </w:p>
    <w:p w14:paraId="07E2A30C" w14:textId="02D3A229" w:rsidR="00612388" w:rsidRPr="00612388" w:rsidRDefault="004267C7" w:rsidP="00210B29">
      <w:pPr>
        <w:pStyle w:val="ListParagraph"/>
        <w:numPr>
          <w:ilvl w:val="0"/>
          <w:numId w:val="1"/>
        </w:numPr>
      </w:pPr>
      <w:r>
        <w:t>Publication: February 2019</w:t>
      </w:r>
      <w:r w:rsidR="00612388" w:rsidRPr="00612388">
        <w:t xml:space="preserve"> </w:t>
      </w:r>
    </w:p>
    <w:p w14:paraId="11C63DC4" w14:textId="72365797" w:rsidR="00405850" w:rsidRDefault="00405850" w:rsidP="00405850">
      <w:pPr>
        <w:rPr>
          <w:b/>
          <w:color w:val="1F497D"/>
        </w:rPr>
      </w:pPr>
    </w:p>
    <w:p w14:paraId="7D3C3741" w14:textId="77777777" w:rsidR="00405850" w:rsidRPr="00405850" w:rsidRDefault="00405850" w:rsidP="00405850">
      <w:pPr>
        <w:rPr>
          <w:b/>
          <w:color w:val="1F497D"/>
        </w:rPr>
      </w:pPr>
      <w:r w:rsidRPr="00405850">
        <w:rPr>
          <w:b/>
          <w:color w:val="1F497D"/>
        </w:rPr>
        <w:t xml:space="preserve">Sounds great, </w:t>
      </w:r>
      <w:r w:rsidR="00885C9C">
        <w:rPr>
          <w:b/>
          <w:color w:val="1F497D"/>
        </w:rPr>
        <w:t>how</w:t>
      </w:r>
      <w:r w:rsidRPr="00405850">
        <w:rPr>
          <w:b/>
          <w:color w:val="1F497D"/>
        </w:rPr>
        <w:t xml:space="preserve"> do I sign up?</w:t>
      </w:r>
    </w:p>
    <w:p w14:paraId="0A20BB84" w14:textId="77777777" w:rsidR="00405850" w:rsidRDefault="00405850" w:rsidP="00405850">
      <w:pPr>
        <w:rPr>
          <w:color w:val="1F497D"/>
        </w:rPr>
      </w:pPr>
    </w:p>
    <w:p w14:paraId="24C67705" w14:textId="77777777" w:rsidR="00885C9C" w:rsidRPr="0067714A" w:rsidRDefault="0067714A" w:rsidP="00405850">
      <w:r>
        <w:t>Please submit your</w:t>
      </w:r>
      <w:r w:rsidR="00405850" w:rsidRPr="0067714A">
        <w:t xml:space="preserve"> expression of interest </w:t>
      </w:r>
      <w:bookmarkStart w:id="0" w:name="_GoBack"/>
      <w:bookmarkEnd w:id="0"/>
      <w:r>
        <w:t>in the form attached to</w:t>
      </w:r>
      <w:r w:rsidR="00405850" w:rsidRPr="0067714A">
        <w:t xml:space="preserve"> </w:t>
      </w:r>
      <w:hyperlink r:id="rId6" w:history="1">
        <w:r w:rsidR="00405850" w:rsidRPr="0067714A">
          <w:t>trina.j@deakin.edu</w:t>
        </w:r>
      </w:hyperlink>
      <w:r w:rsidR="00405850" w:rsidRPr="0067714A">
        <w:t xml:space="preserve"> by the </w:t>
      </w:r>
      <w:r>
        <w:t>22</w:t>
      </w:r>
      <w:r w:rsidRPr="0067714A">
        <w:rPr>
          <w:vertAlign w:val="superscript"/>
        </w:rPr>
        <w:t>nd</w:t>
      </w:r>
      <w:r>
        <w:t xml:space="preserve"> August.  </w:t>
      </w:r>
      <w:r w:rsidR="00405850" w:rsidRPr="0067714A">
        <w:t xml:space="preserve">Please include a title </w:t>
      </w:r>
      <w:r>
        <w:t>and contacts for all of the authors who will contribute. You may also include an optional</w:t>
      </w:r>
      <w:r w:rsidR="00405850" w:rsidRPr="0067714A">
        <w:t xml:space="preserve"> 200 word summary </w:t>
      </w:r>
      <w:r>
        <w:t xml:space="preserve">if you would like feedback on the focus of your article. </w:t>
      </w:r>
      <w:r w:rsidR="00405850" w:rsidRPr="0067714A">
        <w:t xml:space="preserve"> </w:t>
      </w:r>
    </w:p>
    <w:p w14:paraId="1BF1E1E4" w14:textId="5AF9BA32" w:rsidR="00405850" w:rsidRPr="0067714A" w:rsidRDefault="00405850" w:rsidP="00405850"/>
    <w:p w14:paraId="36F92CE1" w14:textId="1C5FC193" w:rsidR="007A7736" w:rsidRDefault="00210B29">
      <w:r>
        <w:t>Kind regards</w:t>
      </w:r>
    </w:p>
    <w:p w14:paraId="2091E4EC" w14:textId="1807E4EA" w:rsidR="00210B29" w:rsidRDefault="00210B29"/>
    <w:p w14:paraId="04CC2C2C" w14:textId="77777777" w:rsidR="00A40E30" w:rsidRDefault="00A40E30" w:rsidP="00A40E30">
      <w:pPr>
        <w:rPr>
          <w:rFonts w:asciiTheme="minorHAnsi" w:eastAsiaTheme="minorEastAsia" w:hAnsiTheme="minorHAnsi"/>
          <w:b/>
          <w:bCs/>
          <w:noProof/>
          <w:color w:val="595959"/>
          <w:lang w:eastAsia="en-AU"/>
        </w:rPr>
      </w:pPr>
      <w:r>
        <w:rPr>
          <w:rFonts w:eastAsiaTheme="minorEastAsia"/>
          <w:b/>
          <w:bCs/>
          <w:noProof/>
          <w:color w:val="595959"/>
          <w:lang w:eastAsia="en-AU"/>
        </w:rPr>
        <w:t>Dr Trina Jorre de St Jorre</w:t>
      </w:r>
    </w:p>
    <w:p w14:paraId="27C74EA8" w14:textId="77777777" w:rsidR="00A40E30" w:rsidRDefault="00A40E30" w:rsidP="00A40E30">
      <w:pPr>
        <w:rPr>
          <w:rFonts w:eastAsia="Calibri" w:cstheme="minorBidi"/>
          <w:noProof/>
          <w:color w:val="424242"/>
          <w:lang w:eastAsia="en-AU"/>
        </w:rPr>
      </w:pPr>
      <w:r>
        <w:rPr>
          <w:rFonts w:eastAsiaTheme="minorEastAsia"/>
          <w:noProof/>
          <w:color w:val="424242"/>
          <w:lang w:eastAsia="en-AU"/>
        </w:rPr>
        <w:lastRenderedPageBreak/>
        <w:t>Lecturer, Graduate Employability</w:t>
      </w:r>
    </w:p>
    <w:p w14:paraId="24213F20" w14:textId="77777777" w:rsidR="00A40E30" w:rsidRDefault="00A40E30" w:rsidP="00A40E30">
      <w:pPr>
        <w:rPr>
          <w:rFonts w:eastAsiaTheme="minorEastAsia"/>
          <w:noProof/>
          <w:color w:val="424242"/>
          <w:lang w:eastAsia="en-AU"/>
        </w:rPr>
      </w:pPr>
      <w:r>
        <w:rPr>
          <w:rFonts w:eastAsiaTheme="minorEastAsia"/>
          <w:noProof/>
          <w:color w:val="424242"/>
          <w:lang w:eastAsia="en-AU"/>
        </w:rPr>
        <w:t>Deakin Learning Futures</w:t>
      </w:r>
    </w:p>
    <w:p w14:paraId="2A7F7C07" w14:textId="77777777" w:rsidR="00A40E30" w:rsidRDefault="00A40E30" w:rsidP="00A40E30">
      <w:pPr>
        <w:rPr>
          <w:rFonts w:asciiTheme="minorHAnsi" w:eastAsiaTheme="minorEastAsia" w:hAnsiTheme="minorHAnsi" w:cstheme="minorBidi"/>
          <w:noProof/>
          <w:sz w:val="24"/>
          <w:szCs w:val="24"/>
          <w:lang w:eastAsia="en-AU"/>
        </w:rPr>
      </w:pPr>
    </w:p>
    <w:p w14:paraId="77C5E45E" w14:textId="1EDC09CA" w:rsidR="00A40E30" w:rsidRDefault="00A40E30" w:rsidP="00A40E30">
      <w:pPr>
        <w:rPr>
          <w:rFonts w:eastAsiaTheme="minorEastAsia"/>
          <w:noProof/>
          <w:color w:val="424242"/>
          <w:sz w:val="24"/>
          <w:szCs w:val="24"/>
          <w:lang w:eastAsia="en-AU"/>
        </w:rPr>
      </w:pPr>
      <w:r>
        <w:rPr>
          <w:rFonts w:eastAsiaTheme="minorEastAsia"/>
          <w:noProof/>
          <w:lang w:eastAsia="en-AU"/>
        </w:rPr>
        <w:drawing>
          <wp:inline distT="0" distB="0" distL="0" distR="0" wp14:anchorId="7B6C4CD3" wp14:editId="0E8852C5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6E374" w14:textId="77777777" w:rsidR="00A40E30" w:rsidRDefault="00A40E30" w:rsidP="00A40E30">
      <w:pPr>
        <w:rPr>
          <w:rFonts w:eastAsiaTheme="minorEastAsia"/>
          <w:noProof/>
          <w:color w:val="424242"/>
          <w:sz w:val="24"/>
          <w:szCs w:val="24"/>
          <w:lang w:eastAsia="en-AU"/>
        </w:rPr>
      </w:pPr>
    </w:p>
    <w:p w14:paraId="37E0DC57" w14:textId="77777777" w:rsidR="00A40E30" w:rsidRDefault="00A40E30" w:rsidP="00A40E30">
      <w:pPr>
        <w:rPr>
          <w:rFonts w:asciiTheme="minorHAnsi" w:eastAsiaTheme="minorEastAsia" w:hAnsiTheme="minorHAnsi" w:cstheme="minorBidi"/>
          <w:b/>
          <w:bCs/>
          <w:noProof/>
          <w:color w:val="595959"/>
          <w:lang w:val="en-US"/>
        </w:rPr>
      </w:pPr>
      <w:r>
        <w:rPr>
          <w:rFonts w:eastAsiaTheme="minorEastAsia"/>
          <w:b/>
          <w:bCs/>
          <w:noProof/>
          <w:color w:val="595959"/>
          <w:lang w:eastAsia="en-AU"/>
        </w:rPr>
        <w:t>Deakin University</w:t>
      </w:r>
    </w:p>
    <w:p w14:paraId="4871D18B" w14:textId="77777777" w:rsidR="00A40E30" w:rsidRDefault="00A40E30" w:rsidP="00A40E30">
      <w:pPr>
        <w:rPr>
          <w:rFonts w:eastAsiaTheme="minorEastAsia"/>
          <w:noProof/>
          <w:lang w:eastAsia="en-AU"/>
        </w:rPr>
      </w:pPr>
      <w:r>
        <w:rPr>
          <w:rFonts w:eastAsiaTheme="minorEastAsia"/>
          <w:noProof/>
          <w:lang w:eastAsia="en-AU"/>
        </w:rPr>
        <w:t>Level 12, Tower 2</w:t>
      </w:r>
    </w:p>
    <w:p w14:paraId="51809677" w14:textId="77777777" w:rsidR="00A40E30" w:rsidRDefault="00A40E30" w:rsidP="00A40E30">
      <w:pPr>
        <w:rPr>
          <w:rFonts w:eastAsiaTheme="minorEastAsia"/>
          <w:noProof/>
          <w:lang w:eastAsia="en-AU"/>
        </w:rPr>
      </w:pPr>
      <w:r>
        <w:rPr>
          <w:rFonts w:eastAsiaTheme="minorEastAsia"/>
          <w:noProof/>
          <w:lang w:eastAsia="en-AU"/>
        </w:rPr>
        <w:t>727 Collins Street</w:t>
      </w:r>
    </w:p>
    <w:p w14:paraId="4D192C52" w14:textId="77777777" w:rsidR="00A40E30" w:rsidRDefault="00A40E30" w:rsidP="00A40E30">
      <w:pPr>
        <w:rPr>
          <w:rFonts w:eastAsiaTheme="minorEastAsia"/>
          <w:noProof/>
          <w:lang w:eastAsia="en-AU"/>
        </w:rPr>
      </w:pPr>
      <w:r>
        <w:rPr>
          <w:rFonts w:eastAsiaTheme="minorEastAsia"/>
          <w:noProof/>
          <w:lang w:eastAsia="en-AU"/>
        </w:rPr>
        <w:t>Melbourne, Victoria 3008</w:t>
      </w:r>
    </w:p>
    <w:p w14:paraId="59C61E81" w14:textId="77777777" w:rsidR="00A40E30" w:rsidRDefault="00A40E30" w:rsidP="00A40E30">
      <w:pPr>
        <w:rPr>
          <w:rFonts w:eastAsiaTheme="minorEastAsia"/>
          <w:noProof/>
          <w:color w:val="424242"/>
          <w:lang w:eastAsia="en-AU"/>
        </w:rPr>
      </w:pPr>
      <w:r>
        <w:rPr>
          <w:rFonts w:eastAsiaTheme="minorEastAsia"/>
          <w:noProof/>
          <w:color w:val="424242"/>
          <w:lang w:eastAsia="en-AU"/>
        </w:rPr>
        <w:t>Ph: 61 3 9246 8370</w:t>
      </w:r>
    </w:p>
    <w:p w14:paraId="208D171A" w14:textId="77777777" w:rsidR="00A40E30" w:rsidRDefault="00A40E30" w:rsidP="00A40E30">
      <w:pPr>
        <w:rPr>
          <w:rFonts w:eastAsiaTheme="minorEastAsia"/>
          <w:noProof/>
          <w:color w:val="424242"/>
          <w:lang w:eastAsia="en-AU"/>
        </w:rPr>
      </w:pPr>
      <w:r>
        <w:rPr>
          <w:rFonts w:eastAsiaTheme="minorEastAsia"/>
          <w:noProof/>
          <w:color w:val="424242"/>
          <w:lang w:eastAsia="en-AU"/>
        </w:rPr>
        <w:t>Ph: 0428 854 667</w:t>
      </w:r>
    </w:p>
    <w:p w14:paraId="5FBC0AEC" w14:textId="77777777" w:rsidR="00A40E30" w:rsidRDefault="004267C7" w:rsidP="00A40E30">
      <w:pPr>
        <w:rPr>
          <w:rFonts w:asciiTheme="minorHAnsi" w:eastAsiaTheme="minorEastAsia" w:hAnsiTheme="minorHAnsi" w:cstheme="minorBidi"/>
          <w:noProof/>
          <w:lang w:eastAsia="en-AU"/>
        </w:rPr>
      </w:pPr>
      <w:hyperlink r:id="rId8" w:history="1">
        <w:r w:rsidR="00A40E30">
          <w:rPr>
            <w:rStyle w:val="Hyperlink"/>
            <w:rFonts w:eastAsiaTheme="minorEastAsia"/>
            <w:noProof/>
            <w:lang w:eastAsia="en-AU"/>
          </w:rPr>
          <w:t>trina.j@deakin.edu.au</w:t>
        </w:r>
      </w:hyperlink>
    </w:p>
    <w:p w14:paraId="4BFBEEB4" w14:textId="77777777" w:rsidR="00A40E30" w:rsidRDefault="004267C7" w:rsidP="00A40E30">
      <w:pPr>
        <w:rPr>
          <w:rFonts w:eastAsiaTheme="minorEastAsia"/>
          <w:noProof/>
          <w:color w:val="0563C1"/>
          <w:u w:val="single"/>
          <w:lang w:eastAsia="en-AU"/>
        </w:rPr>
      </w:pPr>
      <w:hyperlink r:id="rId9" w:history="1">
        <w:r w:rsidR="00A40E30">
          <w:rPr>
            <w:rStyle w:val="Hyperlink"/>
            <w:rFonts w:eastAsiaTheme="minorEastAsia"/>
            <w:noProof/>
            <w:lang w:eastAsia="en-AU"/>
          </w:rPr>
          <w:t>www.deakin.edu.au</w:t>
        </w:r>
      </w:hyperlink>
    </w:p>
    <w:p w14:paraId="278931B7" w14:textId="77777777" w:rsidR="00A40E30" w:rsidRDefault="00A40E30"/>
    <w:sectPr w:rsidR="00A40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97A51"/>
    <w:multiLevelType w:val="hybridMultilevel"/>
    <w:tmpl w:val="8A58D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50"/>
    <w:rsid w:val="000642BD"/>
    <w:rsid w:val="00171DEF"/>
    <w:rsid w:val="00210B29"/>
    <w:rsid w:val="002127C0"/>
    <w:rsid w:val="002615BA"/>
    <w:rsid w:val="00405850"/>
    <w:rsid w:val="004267C7"/>
    <w:rsid w:val="00564D86"/>
    <w:rsid w:val="00612388"/>
    <w:rsid w:val="00617280"/>
    <w:rsid w:val="0067714A"/>
    <w:rsid w:val="007A7736"/>
    <w:rsid w:val="00885C9C"/>
    <w:rsid w:val="00A11A4A"/>
    <w:rsid w:val="00A40E30"/>
    <w:rsid w:val="00A66A0C"/>
    <w:rsid w:val="00C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69CB"/>
  <w15:chartTrackingRefBased/>
  <w15:docId w15:val="{749F21EB-80FB-4964-B46E-D626C2E4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5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0585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850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850"/>
    <w:rPr>
      <w:rFonts w:ascii="Times New Roman" w:hAnsi="Times New Roman" w:cs="Times New Roman"/>
      <w:b/>
      <w:bCs/>
      <w:sz w:val="24"/>
      <w:szCs w:val="24"/>
      <w:lang w:eastAsia="en-AU"/>
    </w:rPr>
  </w:style>
  <w:style w:type="paragraph" w:customStyle="1" w:styleId="js-post-body">
    <w:name w:val="js-post-body"/>
    <w:basedOn w:val="Normal"/>
    <w:rsid w:val="004058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85C9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5C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85C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12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38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38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0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a.j@deakin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na.j@deakin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js.deakin.edu.au/index.php/jtlg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akin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Jorre De St Jorre</dc:creator>
  <cp:keywords/>
  <dc:description/>
  <cp:lastModifiedBy>Trina Jorre De St Jorre</cp:lastModifiedBy>
  <cp:revision>2</cp:revision>
  <dcterms:created xsi:type="dcterms:W3CDTF">2018-08-09T03:51:00Z</dcterms:created>
  <dcterms:modified xsi:type="dcterms:W3CDTF">2018-08-09T03:51:00Z</dcterms:modified>
</cp:coreProperties>
</file>